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812BE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Elolvastam a 16 oldalas tanulmányt. Az alábbi összefoglaló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nem a szerző állításainak kritikája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, hanem annak tömör, egyoldalas bemutatása: vagyis azt foglalom össze, hogy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Szarka László Csaba milyen érvelést és következtetéseket fogalmaz meg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a „Tetten ért megtévesztés” című munkájában. A tanulmány a </w:t>
      </w:r>
      <w:r w:rsidRPr="00EE5719">
        <w:rPr>
          <w:rFonts w:ascii="Arial" w:hAnsi="Arial" w:cs="Arial"/>
          <w:i/>
          <w:iCs/>
          <w:sz w:val="28"/>
          <w:szCs w:val="28"/>
          <w:lang w:val="hu-HU"/>
        </w:rPr>
        <w:t>Gondolatok a Professzorok Batthyány Köre 30 éves jubileumán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című, 2026-os kötetben jelent meg.</w:t>
      </w:r>
    </w:p>
    <w:p w14:paraId="10E3F1D8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Szarka László Csaba: Tetten ért megtévesztés – rövid összefoglaló</w:t>
      </w:r>
    </w:p>
    <w:p w14:paraId="13C1B7D3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Szarka László Csaba tanulmányának központi témája az a kérdés, hogy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hogyan alakult ki a mai klímapolitikai gondolkodás, milyen szerepet játszott ebben a tudomány, a politika és a nemzetközi intézményrendszer, és mennyiben tekinthető a jelenlegi „klímakonszenzus” valóban kizárólag tudományos eredménynek</w:t>
      </w:r>
      <w:r w:rsidRPr="00EE5719">
        <w:rPr>
          <w:rFonts w:ascii="Arial" w:hAnsi="Arial" w:cs="Arial"/>
          <w:sz w:val="28"/>
          <w:szCs w:val="28"/>
          <w:lang w:val="hu-HU"/>
        </w:rPr>
        <w:t>. A szerző saját, több évtizedes földtudományi és tudományszervezési tapasztalataira támaszkodva erősen kritikus álláspontot fogalmaz meg.</w:t>
      </w:r>
    </w:p>
    <w:p w14:paraId="09B5D0A7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1. A környezeti gondolkodás átalakulása</w:t>
      </w:r>
    </w:p>
    <w:p w14:paraId="1F125696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Szarka szerint a rendszerváltozás után Magyarországon is egyre erősebben érvényesült egy nemzetközi, általa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„globalista környezeti szemléletnek”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nevezett gondolkodás. Ennek szerinte az a sajátossága, hogy a természet védelmét sokszor globális, általánosított célok alapján közelíti meg, miközben háttérbe szorulnak a konkrét helyi problémák és az emberi közösségek érdekei.</w:t>
      </w:r>
    </w:p>
    <w:p w14:paraId="1D9069A6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A szerző ezt összekapcsolja a </w:t>
      </w:r>
      <w:proofErr w:type="spellStart"/>
      <w:r w:rsidRPr="00EE5719">
        <w:rPr>
          <w:rFonts w:ascii="Arial" w:hAnsi="Arial" w:cs="Arial"/>
          <w:sz w:val="28"/>
          <w:szCs w:val="28"/>
          <w:lang w:val="hu-HU"/>
        </w:rPr>
        <w:t>malthusiánus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 gondolkodás újjáéledésével, különösen a Római Klub 1972-es </w:t>
      </w:r>
      <w:proofErr w:type="spellStart"/>
      <w:r w:rsidRPr="00EE5719">
        <w:rPr>
          <w:rFonts w:ascii="Arial" w:hAnsi="Arial" w:cs="Arial"/>
          <w:i/>
          <w:iCs/>
          <w:sz w:val="28"/>
          <w:szCs w:val="28"/>
          <w:lang w:val="hu-HU"/>
        </w:rPr>
        <w:t>Limits</w:t>
      </w:r>
      <w:proofErr w:type="spellEnd"/>
      <w:r w:rsidRPr="00EE5719">
        <w:rPr>
          <w:rFonts w:ascii="Arial" w:hAnsi="Arial" w:cs="Arial"/>
          <w:i/>
          <w:iCs/>
          <w:sz w:val="28"/>
          <w:szCs w:val="28"/>
          <w:lang w:val="hu-HU"/>
        </w:rPr>
        <w:t xml:space="preserve"> </w:t>
      </w:r>
      <w:proofErr w:type="spellStart"/>
      <w:r w:rsidRPr="00EE5719">
        <w:rPr>
          <w:rFonts w:ascii="Arial" w:hAnsi="Arial" w:cs="Arial"/>
          <w:i/>
          <w:iCs/>
          <w:sz w:val="28"/>
          <w:szCs w:val="28"/>
          <w:lang w:val="hu-HU"/>
        </w:rPr>
        <w:t>to</w:t>
      </w:r>
      <w:proofErr w:type="spellEnd"/>
      <w:r w:rsidRPr="00EE5719">
        <w:rPr>
          <w:rFonts w:ascii="Arial" w:hAnsi="Arial" w:cs="Arial"/>
          <w:i/>
          <w:iCs/>
          <w:sz w:val="28"/>
          <w:szCs w:val="28"/>
          <w:lang w:val="hu-HU"/>
        </w:rPr>
        <w:t xml:space="preserve"> </w:t>
      </w:r>
      <w:proofErr w:type="spellStart"/>
      <w:r w:rsidRPr="00EE5719">
        <w:rPr>
          <w:rFonts w:ascii="Arial" w:hAnsi="Arial" w:cs="Arial"/>
          <w:i/>
          <w:iCs/>
          <w:sz w:val="28"/>
          <w:szCs w:val="28"/>
          <w:lang w:val="hu-HU"/>
        </w:rPr>
        <w:t>Growth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 jelentésével. Álláspontja szerint az erőforrások kimerülésére és a növekedés </w:t>
      </w:r>
      <w:proofErr w:type="spellStart"/>
      <w:r w:rsidRPr="00EE5719">
        <w:rPr>
          <w:rFonts w:ascii="Arial" w:hAnsi="Arial" w:cs="Arial"/>
          <w:sz w:val="28"/>
          <w:szCs w:val="28"/>
          <w:lang w:val="hu-HU"/>
        </w:rPr>
        <w:t>korlátaira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 épülő korábbi modellek túlzottan leegyszerűsítettek voltak, és több előrejelzésük nem igazolódott.</w:t>
      </w:r>
    </w:p>
    <w:p w14:paraId="4831BEC6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2. A klímakonszenzus eredete</w:t>
      </w:r>
    </w:p>
    <w:p w14:paraId="377097FC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A tanulmány legfontosabb tézise szerint a mai klímapolitikai rendszer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nem egyszerűen a tudomány fokozatosan kialakult eredménye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, hanem egy 1985-ben, az ausztriai </w:t>
      </w:r>
      <w:proofErr w:type="spellStart"/>
      <w:r w:rsidRPr="00EE5719">
        <w:rPr>
          <w:rFonts w:ascii="Arial" w:hAnsi="Arial" w:cs="Arial"/>
          <w:sz w:val="28"/>
          <w:szCs w:val="28"/>
          <w:lang w:val="hu-HU"/>
        </w:rPr>
        <w:t>Villachban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 megfogalmazott nemzetközi intézményi-politikai folyamatból is származik. Szarka különösen az UNEP, az ICSU és a WMO szerepét emeli ki.</w:t>
      </w:r>
    </w:p>
    <w:p w14:paraId="75836128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Érvelése szerint az 1985-ös dokumentum már előre rögzített egy alapvető értelmezési keretet: az üvegházhatású gázok növekedése, elsősorban a fosszilis tüzelőanyagok használata miatt, jelentős jövőbeli </w:t>
      </w:r>
      <w:r w:rsidRPr="00EE5719">
        <w:rPr>
          <w:rFonts w:ascii="Arial" w:hAnsi="Arial" w:cs="Arial"/>
          <w:sz w:val="28"/>
          <w:szCs w:val="28"/>
          <w:lang w:val="hu-HU"/>
        </w:rPr>
        <w:lastRenderedPageBreak/>
        <w:t xml:space="preserve">felmelegedést okozhat, amelyet megfelelő kormányzati politikával mérsékelni lehet. Szarka szerint ezután az IPCC és az ENSZ Éghajlatváltozási Keretegyezménye olyan intézményrendszert hozott létre, amelyben a klímaváltozás okainak vizsgálata fokozatosan az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antropogén üvegházhatású gázokra koncentrálódott</w:t>
      </w:r>
      <w:r w:rsidRPr="00EE5719">
        <w:rPr>
          <w:rFonts w:ascii="Arial" w:hAnsi="Arial" w:cs="Arial"/>
          <w:sz w:val="28"/>
          <w:szCs w:val="28"/>
          <w:lang w:val="hu-HU"/>
        </w:rPr>
        <w:t>.</w:t>
      </w:r>
    </w:p>
    <w:p w14:paraId="4C3327BA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3. A CO</w:t>
      </w:r>
      <w:r w:rsidRPr="00EE5719">
        <w:rPr>
          <w:rFonts w:ascii="Cambria Math" w:hAnsi="Cambria Math" w:cs="Cambria Math"/>
          <w:b/>
          <w:bCs/>
          <w:sz w:val="28"/>
          <w:szCs w:val="28"/>
          <w:lang w:val="hu-HU"/>
        </w:rPr>
        <w:t>₂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 xml:space="preserve"> és a jelenlegi felmelegedés kérdése</w:t>
      </w:r>
    </w:p>
    <w:p w14:paraId="6187EF7F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>A szerző vitatja, hogy a jelenlegi éghajlatváltozás mértékét és ütemét kizárólag, illetve döntően az antropogén CO</w:t>
      </w:r>
      <w:r w:rsidRPr="00EE5719">
        <w:rPr>
          <w:rFonts w:ascii="Cambria Math" w:hAnsi="Cambria Math" w:cs="Cambria Math"/>
          <w:sz w:val="28"/>
          <w:szCs w:val="28"/>
          <w:lang w:val="hu-HU"/>
        </w:rPr>
        <w:t>₂</w:t>
      </w:r>
      <w:r w:rsidRPr="00EE5719">
        <w:rPr>
          <w:rFonts w:ascii="Arial" w:hAnsi="Arial" w:cs="Arial"/>
          <w:sz w:val="28"/>
          <w:szCs w:val="28"/>
          <w:lang w:val="hu-HU"/>
        </w:rPr>
        <w:t>-kibocsátás alapján lehetne megmagyarázni. Az IPCC egyik ábrájából kiindulva azt hangsúlyozza, hogy a kumulatív CO</w:t>
      </w:r>
      <w:r w:rsidRPr="00EE5719">
        <w:rPr>
          <w:rFonts w:ascii="Cambria Math" w:hAnsi="Cambria Math" w:cs="Cambria Math"/>
          <w:sz w:val="28"/>
          <w:szCs w:val="28"/>
          <w:lang w:val="hu-HU"/>
        </w:rPr>
        <w:t>₂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-kibocsátás és a globális hőmérsékleti anomália közötti kapcsolatból szerinte csak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nagyon csekély, 2100-ig néhány század Celsius-fokos hatás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következik az EU kibocsátásának teljes megszüntetéséből.</w:t>
      </w:r>
    </w:p>
    <w:p w14:paraId="36FBCEAD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Kiemelt szerepet tulajdonít a NASA CERES műholdas sugárzási adatainak. Szarka értelmezése szerint 2000–2025 között a Föld által elnyelt rövidhullámú napsugárzás növekedése lényeges tényezője volt a 21. századi melegedésnek, miközben a Földről távozó hosszúhullámú sugárzás is növekedett. Ebből azt a következtetést vonja le, hogy a jelenlegi melegedés fizikai okait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nem tekinthetjük lezárt kérdésnek</w:t>
      </w:r>
      <w:r w:rsidRPr="00EE5719">
        <w:rPr>
          <w:rFonts w:ascii="Arial" w:hAnsi="Arial" w:cs="Arial"/>
          <w:sz w:val="28"/>
          <w:szCs w:val="28"/>
          <w:lang w:val="hu-HU"/>
        </w:rPr>
        <w:t>.</w:t>
      </w:r>
    </w:p>
    <w:p w14:paraId="7534A021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4. A természetes éghajlati változékonyság jelentősége</w:t>
      </w:r>
    </w:p>
    <w:p w14:paraId="7EF017A8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Szarka történelmi és </w:t>
      </w:r>
      <w:proofErr w:type="spellStart"/>
      <w:r w:rsidRPr="00EE5719">
        <w:rPr>
          <w:rFonts w:ascii="Arial" w:hAnsi="Arial" w:cs="Arial"/>
          <w:sz w:val="28"/>
          <w:szCs w:val="28"/>
          <w:lang w:val="hu-HU"/>
        </w:rPr>
        <w:t>paleoklimatológiai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 adatokkal – többek között a közép-angliai hőmérsékleti sorozattal, a Nílus vízállásának hosszú idősorával és grönlandi jégmagadatokkal – szemlélteti, hogy az éghajlat az iparosodás előtt is jelentős változékonyságot mutatott.</w:t>
      </w:r>
    </w:p>
    <w:p w14:paraId="5BC88A08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Szerinte a jelenlegi változás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nem feltétlenül tekinthető rendkívülinek</w:t>
      </w:r>
      <w:r w:rsidRPr="00EE5719">
        <w:rPr>
          <w:rFonts w:ascii="Arial" w:hAnsi="Arial" w:cs="Arial"/>
          <w:sz w:val="28"/>
          <w:szCs w:val="28"/>
          <w:lang w:val="hu-HU"/>
        </w:rPr>
        <w:t>, és az éghajlati rendszerben számos olyan kozmikus, szoláris, geológiai, hidrológiai, biológiai és egyéb kölcsönhatás létezik, amelyek szerepét még nem ismerjük kellőképpen.</w:t>
      </w:r>
    </w:p>
    <w:p w14:paraId="37643471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5. Tudomány és politika</w:t>
      </w:r>
    </w:p>
    <w:p w14:paraId="1A3C9D3C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A tanulmány egyik legerősebb állítása, hogy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 xml:space="preserve">a klímatudomány és a klímapolitika túlságosan </w:t>
      </w:r>
      <w:proofErr w:type="spellStart"/>
      <w:r w:rsidRPr="00EE5719">
        <w:rPr>
          <w:rFonts w:ascii="Arial" w:hAnsi="Arial" w:cs="Arial"/>
          <w:b/>
          <w:bCs/>
          <w:sz w:val="28"/>
          <w:szCs w:val="28"/>
          <w:lang w:val="hu-HU"/>
        </w:rPr>
        <w:t>összefonódott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. Szarka szerint a kutatók és intézmények finanszírozási, publikációs és </w:t>
      </w:r>
      <w:proofErr w:type="spellStart"/>
      <w:r w:rsidRPr="00EE5719">
        <w:rPr>
          <w:rFonts w:ascii="Arial" w:hAnsi="Arial" w:cs="Arial"/>
          <w:sz w:val="28"/>
          <w:szCs w:val="28"/>
          <w:lang w:val="hu-HU"/>
        </w:rPr>
        <w:t>tudománymetriai</w:t>
      </w:r>
      <w:proofErr w:type="spellEnd"/>
      <w:r w:rsidRPr="00EE5719">
        <w:rPr>
          <w:rFonts w:ascii="Arial" w:hAnsi="Arial" w:cs="Arial"/>
          <w:sz w:val="28"/>
          <w:szCs w:val="28"/>
          <w:lang w:val="hu-HU"/>
        </w:rPr>
        <w:t xml:space="preserve"> ösztönzői is hozzájárulhatnak ahhoz, hogy elsősorban az antropogén eredetű üvegházhatású gázok szerepét vizsgálják.</w:t>
      </w:r>
    </w:p>
    <w:p w14:paraId="2268B388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Ezt a folyamatot a szerző Magyarországon is kimutatni véli, például a VAHAVA-program, a korábbi PBK-állásfoglalások és a Szent István-terv </w:t>
      </w:r>
      <w:r w:rsidRPr="00EE5719">
        <w:rPr>
          <w:rFonts w:ascii="Arial" w:hAnsi="Arial" w:cs="Arial"/>
          <w:sz w:val="28"/>
          <w:szCs w:val="28"/>
          <w:lang w:val="hu-HU"/>
        </w:rPr>
        <w:lastRenderedPageBreak/>
        <w:t>kapcsán. Saját korábbi álláspontját is önkritikusan értékeli: úgy látja, hogy a Professzorok Batthyány Köre korábban túl jóhiszeműen fogadta el a nemzetközi klímakonszenzus alapvető állításait.</w:t>
      </w:r>
    </w:p>
    <w:p w14:paraId="25BC2CBE" w14:textId="77777777" w:rsidR="00EE5719" w:rsidRPr="00EE5719" w:rsidRDefault="00EE5719" w:rsidP="00EE5719">
      <w:pPr>
        <w:rPr>
          <w:rFonts w:ascii="Arial" w:hAnsi="Arial" w:cs="Arial"/>
          <w:b/>
          <w:bCs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6. Következtetés és jövőkép</w:t>
      </w:r>
    </w:p>
    <w:p w14:paraId="3F0D41AD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 xml:space="preserve">Szarka nem a környezetvédelem vagy a mérsékelt erőforrás-használat ellen érvel. Inkább azt hangsúlyozza, hogy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a környezeti problémákat a fizikai valóság pontos feltárására, nem pedig előre rögzített politikai célokra kell alapozni</w:t>
      </w:r>
      <w:r w:rsidRPr="00EE5719">
        <w:rPr>
          <w:rFonts w:ascii="Arial" w:hAnsi="Arial" w:cs="Arial"/>
          <w:sz w:val="28"/>
          <w:szCs w:val="28"/>
          <w:lang w:val="hu-HU"/>
        </w:rPr>
        <w:t>.</w:t>
      </w:r>
    </w:p>
    <w:p w14:paraId="7A9D5CB7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sz w:val="28"/>
          <w:szCs w:val="28"/>
          <w:lang w:val="hu-HU"/>
        </w:rPr>
        <w:t>Optimista jövőképet vázol fel: szerinte a technológiai fejlődés és az emberi kreativitás révén hosszú távon biztosítható lehet a világ számára a megfelelő mennyiségű energia. A globális energiafelhasználást évi mintegy 1 ZJ nagyságrendben tartja hosszú távon fenntarthatónak. Ennek érdekében szerinte nem a „klímariogatás”, hanem a tudományos vita, az energiaellátás racionalitása, a mérsékletesség és a technológiai fejlődés útját kell követni.</w:t>
      </w:r>
    </w:p>
    <w:p w14:paraId="01FAD4A4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A tanulmány végső üzenete: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Szarka szerint a legfontosabb feladat nem az, hogy egy már kialakított klímapolitikai célhoz keressünk tudományos igazolást, hanem hogy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újra megnyissuk a vitát az éghajlatváltozás okairól</w:t>
      </w:r>
      <w:r w:rsidRPr="00EE5719">
        <w:rPr>
          <w:rFonts w:ascii="Arial" w:hAnsi="Arial" w:cs="Arial"/>
          <w:sz w:val="28"/>
          <w:szCs w:val="28"/>
          <w:lang w:val="hu-HU"/>
        </w:rPr>
        <w:t>, és a politikai döntéseket a lehető legkevésbé átpolitizált, önkorrekcióra képes tudományos megismerésre alapozzuk. A PBK energia-munkacsoportjának tevékenységét ennek a vitának az egyik magyarországi fórumaként mutatja be.</w:t>
      </w:r>
    </w:p>
    <w:p w14:paraId="0EBC4A4F" w14:textId="77777777" w:rsidR="00EE5719" w:rsidRPr="00EE5719" w:rsidRDefault="00EE5719" w:rsidP="00EE5719">
      <w:pPr>
        <w:rPr>
          <w:rFonts w:ascii="Arial" w:hAnsi="Arial" w:cs="Arial"/>
          <w:sz w:val="28"/>
          <w:szCs w:val="28"/>
          <w:lang w:val="hu-HU"/>
        </w:rPr>
      </w:pPr>
      <w:r w:rsidRPr="00EE5719">
        <w:rPr>
          <w:rFonts w:ascii="Arial" w:hAnsi="Arial" w:cs="Arial"/>
          <w:b/>
          <w:bCs/>
          <w:sz w:val="28"/>
          <w:szCs w:val="28"/>
          <w:lang w:val="hu-HU"/>
        </w:rPr>
        <w:t>Fontos megjegyzés: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a fenti összefoglaló Szarka érvelését adja vissza. Több központi állítása – például a CO</w:t>
      </w:r>
      <w:r w:rsidRPr="00EE5719">
        <w:rPr>
          <w:rFonts w:ascii="Cambria Math" w:hAnsi="Cambria Math" w:cs="Cambria Math"/>
          <w:sz w:val="28"/>
          <w:szCs w:val="28"/>
          <w:lang w:val="hu-HU"/>
        </w:rPr>
        <w:t>₂</w:t>
      </w:r>
      <w:r w:rsidRPr="00EE5719">
        <w:rPr>
          <w:rFonts w:ascii="Arial" w:hAnsi="Arial" w:cs="Arial"/>
          <w:sz w:val="28"/>
          <w:szCs w:val="28"/>
          <w:lang w:val="hu-HU"/>
        </w:rPr>
        <w:t xml:space="preserve"> és a felmelegedés közötti kapcsolat értelmezése, illetve a CERES-adatokból levont következtetései – </w:t>
      </w:r>
      <w:r w:rsidRPr="00EE5719">
        <w:rPr>
          <w:rFonts w:ascii="Arial" w:hAnsi="Arial" w:cs="Arial"/>
          <w:b/>
          <w:bCs/>
          <w:sz w:val="28"/>
          <w:szCs w:val="28"/>
          <w:lang w:val="hu-HU"/>
        </w:rPr>
        <w:t>tudományosan vitatott állítás</w:t>
      </w:r>
      <w:r w:rsidRPr="00EE5719">
        <w:rPr>
          <w:rFonts w:ascii="Arial" w:hAnsi="Arial" w:cs="Arial"/>
          <w:sz w:val="28"/>
          <w:szCs w:val="28"/>
          <w:lang w:val="hu-HU"/>
        </w:rPr>
        <w:t>, ezért ezeket nem kezeltem a konszenzusos klímatudomány megállapításaiként. Ez különösen fontos, ha az összefoglalót később vitában, cikkben vagy előadásban szeretné felhasználni.</w:t>
      </w:r>
    </w:p>
    <w:p w14:paraId="1BAEAA80" w14:textId="77777777" w:rsidR="008B3472" w:rsidRPr="004F743D" w:rsidRDefault="008B3472">
      <w:pPr>
        <w:rPr>
          <w:rFonts w:ascii="Arial" w:hAnsi="Arial" w:cs="Arial"/>
          <w:sz w:val="28"/>
          <w:szCs w:val="28"/>
          <w:lang w:val="hu-HU"/>
        </w:rPr>
      </w:pPr>
    </w:p>
    <w:sectPr w:rsidR="008B3472" w:rsidRPr="004F743D" w:rsidSect="00E25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CA"/>
    <w:rsid w:val="004F743D"/>
    <w:rsid w:val="006D6613"/>
    <w:rsid w:val="008B3472"/>
    <w:rsid w:val="00B0036C"/>
    <w:rsid w:val="00CE3ABD"/>
    <w:rsid w:val="00CF05CA"/>
    <w:rsid w:val="00E25B41"/>
    <w:rsid w:val="00EE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3434"/>
  <w15:chartTrackingRefBased/>
  <w15:docId w15:val="{3A5835E3-F341-4DF4-B43F-077921A3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6613"/>
  </w:style>
  <w:style w:type="paragraph" w:styleId="Cmsor1">
    <w:name w:val="heading 1"/>
    <w:basedOn w:val="Norml"/>
    <w:next w:val="Norml"/>
    <w:link w:val="Cmsor1Char"/>
    <w:uiPriority w:val="9"/>
    <w:qFormat/>
    <w:rsid w:val="006D6613"/>
    <w:pPr>
      <w:keepNext/>
      <w:keepLines/>
      <w:spacing w:before="320" w:after="0" w:line="240" w:lineRule="auto"/>
      <w:outlineLvl w:val="0"/>
    </w:pPr>
    <w:rPr>
      <w:rFonts w:ascii="Calibri Light" w:eastAsia="SimSun" w:hAnsi="Calibri Light" w:cs="Times New Roman"/>
      <w:color w:val="2E74B5"/>
      <w:sz w:val="30"/>
      <w:szCs w:val="3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D6613"/>
    <w:pPr>
      <w:keepNext/>
      <w:keepLines/>
      <w:spacing w:before="40" w:after="0" w:line="240" w:lineRule="auto"/>
      <w:outlineLvl w:val="1"/>
    </w:pPr>
    <w:rPr>
      <w:rFonts w:ascii="Calibri Light" w:eastAsia="SimSun" w:hAnsi="Calibri Light" w:cs="Times New Roman"/>
      <w:color w:val="C45911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D6613"/>
    <w:pPr>
      <w:keepNext/>
      <w:keepLines/>
      <w:spacing w:before="40" w:after="0" w:line="240" w:lineRule="auto"/>
      <w:outlineLvl w:val="2"/>
    </w:pPr>
    <w:rPr>
      <w:rFonts w:ascii="Calibri Light" w:eastAsia="SimSun" w:hAnsi="Calibri Light" w:cs="Times New Roman"/>
      <w:color w:val="538135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D6613"/>
    <w:pPr>
      <w:keepNext/>
      <w:keepLines/>
      <w:spacing w:before="40" w:after="0"/>
      <w:outlineLvl w:val="3"/>
    </w:pPr>
    <w:rPr>
      <w:rFonts w:ascii="Calibri Light" w:eastAsia="SimSun" w:hAnsi="Calibri Light" w:cs="Times New Roman"/>
      <w:i/>
      <w:iCs/>
      <w:color w:val="2F5496"/>
      <w:sz w:val="25"/>
      <w:szCs w:val="25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D6613"/>
    <w:pPr>
      <w:keepNext/>
      <w:keepLines/>
      <w:spacing w:before="40" w:after="0"/>
      <w:outlineLvl w:val="4"/>
    </w:pPr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D6613"/>
    <w:pPr>
      <w:keepNext/>
      <w:keepLines/>
      <w:spacing w:before="40" w:after="0"/>
      <w:outlineLvl w:val="5"/>
    </w:pPr>
    <w:rPr>
      <w:rFonts w:ascii="Calibri Light" w:eastAsia="SimSun" w:hAnsi="Calibri Light" w:cs="Times New Roman"/>
      <w:i/>
      <w:iCs/>
      <w:color w:val="385623"/>
      <w:sz w:val="23"/>
      <w:szCs w:val="23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D6613"/>
    <w:pPr>
      <w:keepNext/>
      <w:keepLines/>
      <w:spacing w:before="40" w:after="0"/>
      <w:outlineLvl w:val="6"/>
    </w:pPr>
    <w:rPr>
      <w:rFonts w:ascii="Calibri Light" w:eastAsia="SimSun" w:hAnsi="Calibri Light" w:cs="Times New Roman"/>
      <w:color w:val="1F4E79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D6613"/>
    <w:pPr>
      <w:keepNext/>
      <w:keepLines/>
      <w:spacing w:before="40" w:after="0"/>
      <w:outlineLvl w:val="7"/>
    </w:pPr>
    <w:rPr>
      <w:rFonts w:ascii="Calibri Light" w:eastAsia="SimSun" w:hAnsi="Calibri Light" w:cs="Times New Roman"/>
      <w:color w:val="833C0B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D6613"/>
    <w:pPr>
      <w:keepNext/>
      <w:keepLines/>
      <w:spacing w:before="40" w:after="0"/>
      <w:outlineLvl w:val="8"/>
    </w:pPr>
    <w:rPr>
      <w:rFonts w:ascii="Calibri Light" w:eastAsia="SimSun" w:hAnsi="Calibri Light" w:cs="Times New Roman"/>
      <w:color w:val="385623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6D6613"/>
    <w:rPr>
      <w:rFonts w:ascii="Calibri Light" w:eastAsia="SimSun" w:hAnsi="Calibri Light" w:cs="Times New Roman"/>
      <w:color w:val="2E74B5"/>
      <w:sz w:val="30"/>
      <w:szCs w:val="30"/>
    </w:rPr>
  </w:style>
  <w:style w:type="character" w:customStyle="1" w:styleId="Cmsor2Char">
    <w:name w:val="Címsor 2 Char"/>
    <w:link w:val="Cmsor2"/>
    <w:uiPriority w:val="9"/>
    <w:semiHidden/>
    <w:rsid w:val="006D6613"/>
    <w:rPr>
      <w:rFonts w:ascii="Calibri Light" w:eastAsia="SimSun" w:hAnsi="Calibri Light" w:cs="Times New Roman"/>
      <w:color w:val="C45911"/>
      <w:sz w:val="28"/>
      <w:szCs w:val="28"/>
    </w:rPr>
  </w:style>
  <w:style w:type="character" w:customStyle="1" w:styleId="Cmsor3Char">
    <w:name w:val="Címsor 3 Char"/>
    <w:link w:val="Cmsor3"/>
    <w:uiPriority w:val="9"/>
    <w:semiHidden/>
    <w:rsid w:val="006D6613"/>
    <w:rPr>
      <w:rFonts w:ascii="Calibri Light" w:eastAsia="SimSun" w:hAnsi="Calibri Light" w:cs="Times New Roman"/>
      <w:color w:val="538135"/>
      <w:sz w:val="26"/>
      <w:szCs w:val="26"/>
    </w:rPr>
  </w:style>
  <w:style w:type="character" w:customStyle="1" w:styleId="Cmsor4Char">
    <w:name w:val="Címsor 4 Char"/>
    <w:link w:val="Cmsor4"/>
    <w:uiPriority w:val="9"/>
    <w:semiHidden/>
    <w:rsid w:val="006D6613"/>
    <w:rPr>
      <w:rFonts w:ascii="Calibri Light" w:eastAsia="SimSun" w:hAnsi="Calibri Light" w:cs="Times New Roman"/>
      <w:i/>
      <w:iCs/>
      <w:color w:val="2F5496"/>
      <w:sz w:val="25"/>
      <w:szCs w:val="25"/>
    </w:rPr>
  </w:style>
  <w:style w:type="character" w:customStyle="1" w:styleId="Cmsor5Char">
    <w:name w:val="Címsor 5 Char"/>
    <w:link w:val="Cmsor5"/>
    <w:uiPriority w:val="9"/>
    <w:semiHidden/>
    <w:rsid w:val="006D6613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Cmsor6Char">
    <w:name w:val="Címsor 6 Char"/>
    <w:link w:val="Cmsor6"/>
    <w:uiPriority w:val="9"/>
    <w:semiHidden/>
    <w:rsid w:val="006D6613"/>
    <w:rPr>
      <w:rFonts w:ascii="Calibri Light" w:eastAsia="SimSun" w:hAnsi="Calibri Light" w:cs="Times New Roman"/>
      <w:i/>
      <w:iCs/>
      <w:color w:val="385623"/>
      <w:sz w:val="23"/>
      <w:szCs w:val="23"/>
    </w:rPr>
  </w:style>
  <w:style w:type="character" w:customStyle="1" w:styleId="Cmsor7Char">
    <w:name w:val="Címsor 7 Char"/>
    <w:link w:val="Cmsor7"/>
    <w:uiPriority w:val="9"/>
    <w:semiHidden/>
    <w:rsid w:val="006D6613"/>
    <w:rPr>
      <w:rFonts w:ascii="Calibri Light" w:eastAsia="SimSun" w:hAnsi="Calibri Light" w:cs="Times New Roman"/>
      <w:color w:val="1F4E79"/>
    </w:rPr>
  </w:style>
  <w:style w:type="character" w:customStyle="1" w:styleId="Cmsor8Char">
    <w:name w:val="Címsor 8 Char"/>
    <w:link w:val="Cmsor8"/>
    <w:uiPriority w:val="9"/>
    <w:semiHidden/>
    <w:rsid w:val="006D6613"/>
    <w:rPr>
      <w:rFonts w:ascii="Calibri Light" w:eastAsia="SimSun" w:hAnsi="Calibri Light" w:cs="Times New Roman"/>
      <w:color w:val="833C0B"/>
      <w:sz w:val="21"/>
      <w:szCs w:val="21"/>
    </w:rPr>
  </w:style>
  <w:style w:type="character" w:customStyle="1" w:styleId="Cmsor9Char">
    <w:name w:val="Címsor 9 Char"/>
    <w:link w:val="Cmsor9"/>
    <w:uiPriority w:val="9"/>
    <w:semiHidden/>
    <w:rsid w:val="006D6613"/>
    <w:rPr>
      <w:rFonts w:ascii="Calibri Light" w:eastAsia="SimSun" w:hAnsi="Calibri Light" w:cs="Times New Roman"/>
      <w:color w:val="385623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6D6613"/>
    <w:pPr>
      <w:spacing w:line="240" w:lineRule="auto"/>
    </w:pPr>
    <w:rPr>
      <w:b/>
      <w:bCs/>
      <w:smallCaps/>
      <w:color w:val="5B9BD5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6D6613"/>
    <w:pPr>
      <w:spacing w:after="0" w:line="240" w:lineRule="auto"/>
      <w:contextualSpacing/>
    </w:pPr>
    <w:rPr>
      <w:rFonts w:ascii="Calibri Light" w:eastAsia="SimSun" w:hAnsi="Calibri Light" w:cs="Times New Roman"/>
      <w:color w:val="2E74B5"/>
      <w:spacing w:val="-10"/>
      <w:sz w:val="52"/>
      <w:szCs w:val="52"/>
    </w:rPr>
  </w:style>
  <w:style w:type="character" w:customStyle="1" w:styleId="CmChar">
    <w:name w:val="Cím Char"/>
    <w:link w:val="Cm"/>
    <w:uiPriority w:val="10"/>
    <w:rsid w:val="006D6613"/>
    <w:rPr>
      <w:rFonts w:ascii="Calibri Light" w:eastAsia="SimSun" w:hAnsi="Calibri Light" w:cs="Times New Roman"/>
      <w:color w:val="2E74B5"/>
      <w:spacing w:val="-10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6D6613"/>
    <w:pPr>
      <w:numPr>
        <w:ilvl w:val="1"/>
      </w:numPr>
      <w:spacing w:line="240" w:lineRule="auto"/>
    </w:pPr>
    <w:rPr>
      <w:rFonts w:ascii="Calibri Light" w:eastAsia="SimSun" w:hAnsi="Calibri Light" w:cs="Times New Roman"/>
    </w:rPr>
  </w:style>
  <w:style w:type="character" w:customStyle="1" w:styleId="AlcmChar">
    <w:name w:val="Alcím Char"/>
    <w:link w:val="Alcm"/>
    <w:uiPriority w:val="11"/>
    <w:rsid w:val="006D6613"/>
    <w:rPr>
      <w:rFonts w:ascii="Calibri Light" w:eastAsia="SimSun" w:hAnsi="Calibri Light" w:cs="Times New Roman"/>
    </w:rPr>
  </w:style>
  <w:style w:type="character" w:styleId="Kiemels2">
    <w:name w:val="Strong"/>
    <w:uiPriority w:val="22"/>
    <w:qFormat/>
    <w:rsid w:val="006D6613"/>
    <w:rPr>
      <w:b/>
      <w:bCs/>
    </w:rPr>
  </w:style>
  <w:style w:type="character" w:styleId="Kiemels">
    <w:name w:val="Emphasis"/>
    <w:uiPriority w:val="20"/>
    <w:qFormat/>
    <w:rsid w:val="006D6613"/>
    <w:rPr>
      <w:i/>
      <w:iCs/>
    </w:rPr>
  </w:style>
  <w:style w:type="paragraph" w:styleId="Nincstrkz">
    <w:name w:val="No Spacing"/>
    <w:uiPriority w:val="1"/>
    <w:qFormat/>
    <w:rsid w:val="006D661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6D6613"/>
    <w:pPr>
      <w:spacing w:before="120"/>
      <w:ind w:left="720" w:right="720"/>
      <w:jc w:val="center"/>
    </w:pPr>
    <w:rPr>
      <w:i/>
      <w:iCs/>
    </w:rPr>
  </w:style>
  <w:style w:type="character" w:customStyle="1" w:styleId="IdzetChar">
    <w:name w:val="Idézet Char"/>
    <w:link w:val="Idzet"/>
    <w:uiPriority w:val="29"/>
    <w:rsid w:val="006D6613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D6613"/>
    <w:pPr>
      <w:spacing w:before="120" w:line="300" w:lineRule="auto"/>
      <w:ind w:left="576" w:right="576"/>
      <w:jc w:val="center"/>
    </w:pPr>
    <w:rPr>
      <w:rFonts w:ascii="Calibri Light" w:eastAsia="SimSun" w:hAnsi="Calibri Light" w:cs="Times New Roman"/>
      <w:color w:val="5B9BD5"/>
      <w:sz w:val="24"/>
      <w:szCs w:val="24"/>
    </w:rPr>
  </w:style>
  <w:style w:type="character" w:customStyle="1" w:styleId="KiemeltidzetChar">
    <w:name w:val="Kiemelt idézet Char"/>
    <w:link w:val="Kiemeltidzet"/>
    <w:uiPriority w:val="30"/>
    <w:rsid w:val="006D6613"/>
    <w:rPr>
      <w:rFonts w:ascii="Calibri Light" w:eastAsia="SimSun" w:hAnsi="Calibri Light" w:cs="Times New Roman"/>
      <w:color w:val="5B9BD5"/>
      <w:sz w:val="24"/>
      <w:szCs w:val="24"/>
    </w:rPr>
  </w:style>
  <w:style w:type="character" w:styleId="Finomkiemels">
    <w:name w:val="Subtle Emphasis"/>
    <w:uiPriority w:val="19"/>
    <w:qFormat/>
    <w:rsid w:val="006D6613"/>
    <w:rPr>
      <w:i/>
      <w:iCs/>
      <w:color w:val="404040"/>
    </w:rPr>
  </w:style>
  <w:style w:type="character" w:styleId="Erskiemels">
    <w:name w:val="Intense Emphasis"/>
    <w:uiPriority w:val="21"/>
    <w:qFormat/>
    <w:rsid w:val="006D6613"/>
    <w:rPr>
      <w:b w:val="0"/>
      <w:bCs w:val="0"/>
      <w:i/>
      <w:iCs/>
      <w:color w:val="5B9BD5"/>
    </w:rPr>
  </w:style>
  <w:style w:type="character" w:styleId="Finomhivatkozs">
    <w:name w:val="Subtle Reference"/>
    <w:uiPriority w:val="31"/>
    <w:qFormat/>
    <w:rsid w:val="006D6613"/>
    <w:rPr>
      <w:smallCaps/>
      <w:color w:val="404040"/>
      <w:u w:val="single" w:color="7F7F7F"/>
    </w:rPr>
  </w:style>
  <w:style w:type="character" w:styleId="Ershivatkozs">
    <w:name w:val="Intense Reference"/>
    <w:uiPriority w:val="32"/>
    <w:qFormat/>
    <w:rsid w:val="006D6613"/>
    <w:rPr>
      <w:b/>
      <w:bCs/>
      <w:smallCaps/>
      <w:color w:val="5B9BD5"/>
      <w:spacing w:val="5"/>
      <w:u w:val="single"/>
    </w:rPr>
  </w:style>
  <w:style w:type="character" w:styleId="Knyvcme">
    <w:name w:val="Book Title"/>
    <w:uiPriority w:val="33"/>
    <w:qFormat/>
    <w:rsid w:val="006D6613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D661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776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Jóska</dc:creator>
  <cp:keywords/>
  <dc:description/>
  <cp:lastModifiedBy>Jóska</cp:lastModifiedBy>
  <cp:revision>2</cp:revision>
  <dcterms:created xsi:type="dcterms:W3CDTF">2026-08-09T13:57:00Z</dcterms:created>
  <dcterms:modified xsi:type="dcterms:W3CDTF">2026-08-09T21:00:00Z</dcterms:modified>
</cp:coreProperties>
</file>